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65" w:rsidRPr="00F71B65" w:rsidRDefault="00F71B65" w:rsidP="00F71B65">
      <w:pPr>
        <w:tabs>
          <w:tab w:val="center" w:pos="8295"/>
        </w:tabs>
        <w:spacing w:after="19"/>
        <w:rPr>
          <w:rFonts w:ascii="Verdana" w:eastAsia="Verdana" w:hAnsi="Verdana" w:cs="Verdana"/>
          <w:b/>
          <w:sz w:val="24"/>
          <w:szCs w:val="24"/>
        </w:rPr>
      </w:pPr>
      <w:r w:rsidRPr="00F71B65">
        <w:rPr>
          <w:rFonts w:ascii="Verdana" w:eastAsia="Verdana" w:hAnsi="Verdana" w:cs="Verdana"/>
          <w:b/>
          <w:sz w:val="24"/>
          <w:szCs w:val="24"/>
        </w:rPr>
        <w:t>Schaapskuddes</w:t>
      </w:r>
    </w:p>
    <w:p w:rsidR="00F71B65" w:rsidRDefault="00F71B65" w:rsidP="00F71B65">
      <w:pPr>
        <w:tabs>
          <w:tab w:val="center" w:pos="8295"/>
        </w:tabs>
        <w:spacing w:after="19"/>
        <w:rPr>
          <w:rFonts w:ascii="Verdana" w:eastAsia="Verdana" w:hAnsi="Verdana" w:cs="Verdana"/>
          <w:b/>
          <w:sz w:val="18"/>
        </w:rPr>
      </w:pPr>
    </w:p>
    <w:p w:rsidR="00F71B65" w:rsidRDefault="00F71B65" w:rsidP="00F71B65">
      <w:pPr>
        <w:spacing w:after="3" w:line="264" w:lineRule="auto"/>
        <w:ind w:left="-4" w:right="2259" w:hanging="10"/>
      </w:pPr>
      <w:bookmarkStart w:id="0" w:name="_GoBack"/>
      <w:bookmarkEnd w:id="0"/>
      <w:r>
        <w:rPr>
          <w:rFonts w:ascii="Verdana" w:eastAsia="Verdana" w:hAnsi="Verdana" w:cs="Verdana"/>
          <w:sz w:val="18"/>
        </w:rPr>
        <w:t xml:space="preserve">Begrazing met schaapskuddes is een methode van natuurbeheer die voor diverse soorten terrein geschikt is. De begrazing door schapen is een alternatief voor het </w:t>
      </w:r>
      <w:r>
        <w:rPr>
          <w:rFonts w:ascii="Verdana" w:eastAsia="Verdana" w:hAnsi="Verdana" w:cs="Verdana"/>
          <w:sz w:val="18"/>
        </w:rPr>
        <w:tab/>
      </w:r>
      <w:r>
        <w:rPr>
          <w:rFonts w:ascii="Arial" w:eastAsia="Arial" w:hAnsi="Arial" w:cs="Arial"/>
          <w:sz w:val="19"/>
        </w:rPr>
        <w:t xml:space="preserve"> </w:t>
      </w:r>
      <w:r>
        <w:rPr>
          <w:rFonts w:ascii="Verdana" w:eastAsia="Verdana" w:hAnsi="Verdana" w:cs="Verdana"/>
          <w:sz w:val="18"/>
        </w:rPr>
        <w:t xml:space="preserve">maaien van de terreinen, waarbij de kudde wordt geleid naar daar waar die nodig is.   </w:t>
      </w:r>
    </w:p>
    <w:p w:rsidR="00F71B65" w:rsidRDefault="00F71B65" w:rsidP="00F71B65">
      <w:pPr>
        <w:spacing w:after="3" w:line="264" w:lineRule="auto"/>
        <w:ind w:left="-4" w:right="2157" w:hanging="10"/>
      </w:pPr>
      <w:r>
        <w:rPr>
          <w:rFonts w:ascii="Verdana" w:eastAsia="Verdana" w:hAnsi="Verdana" w:cs="Verdana"/>
          <w:sz w:val="18"/>
        </w:rPr>
        <w:t xml:space="preserve">Ondernemer X verricht de begrazingsdiensten voor onder meer een </w:t>
      </w:r>
    </w:p>
    <w:p w:rsidR="00F71B65" w:rsidRDefault="00F71B65" w:rsidP="00F71B65">
      <w:pPr>
        <w:spacing w:after="3" w:line="264" w:lineRule="auto"/>
        <w:ind w:left="-4" w:right="2157" w:hanging="10"/>
      </w:pPr>
      <w:r>
        <w:rPr>
          <w:rFonts w:ascii="Verdana" w:eastAsia="Verdana" w:hAnsi="Verdana" w:cs="Verdana"/>
          <w:sz w:val="18"/>
        </w:rPr>
        <w:t>natuurorganisatie in natuurgebieden waarvoor de natuurorganisatie is aangemerkt als bosbouwer in de zin van artikel 27 van de Wet op de omzetbelasting 1968 (hierna: Wet OB). De natuurorganisatie neemt de begrazingsdienst af in haar hoedanigheid van bosbouwer</w:t>
      </w:r>
      <w:r>
        <w:rPr>
          <w:rFonts w:ascii="Verdana" w:eastAsia="Verdana" w:hAnsi="Verdana" w:cs="Verdana"/>
          <w:sz w:val="18"/>
          <w:vertAlign w:val="superscript"/>
        </w:rPr>
        <w:footnoteReference w:id="1"/>
      </w:r>
      <w:r>
        <w:rPr>
          <w:rFonts w:ascii="Verdana" w:eastAsia="Verdana" w:hAnsi="Verdana" w:cs="Verdana"/>
          <w:sz w:val="18"/>
        </w:rPr>
        <w:t xml:space="preserve">. </w:t>
      </w:r>
    </w:p>
    <w:p w:rsidR="00F71B65" w:rsidRDefault="00F71B65" w:rsidP="00F71B65">
      <w:pPr>
        <w:spacing w:after="12"/>
        <w:ind w:left="1"/>
      </w:pPr>
      <w:r>
        <w:rPr>
          <w:rFonts w:ascii="Verdana" w:eastAsia="Verdana" w:hAnsi="Verdana" w:cs="Verdana"/>
          <w:b/>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Valt het door schapen laten begrazen van natuurgebieden waarvoor de </w:t>
      </w:r>
    </w:p>
    <w:p w:rsidR="00F71B65" w:rsidRDefault="00F71B65" w:rsidP="00F71B65">
      <w:pPr>
        <w:spacing w:after="3" w:line="264" w:lineRule="auto"/>
        <w:ind w:left="-4" w:right="2157" w:hanging="10"/>
      </w:pPr>
      <w:r>
        <w:rPr>
          <w:rFonts w:ascii="Verdana" w:eastAsia="Verdana" w:hAnsi="Verdana" w:cs="Verdana"/>
          <w:sz w:val="18"/>
        </w:rPr>
        <w:t>natuurorganisatie (gedeeltelijk) is aangemerkt als bosbouwer onder post b-13 van Tabel I behorende bij de Wet OB (hierna: post b-13) zodat het verlaagde btw</w:t>
      </w:r>
      <w:r>
        <w:rPr>
          <w:rFonts w:ascii="Verdana" w:eastAsia="Verdana" w:hAnsi="Verdana" w:cs="Verdana"/>
          <w:sz w:val="18"/>
        </w:rPr>
        <w:t xml:space="preserve"> </w:t>
      </w:r>
      <w:r>
        <w:rPr>
          <w:rFonts w:ascii="Verdana" w:eastAsia="Verdana" w:hAnsi="Verdana" w:cs="Verdana"/>
          <w:sz w:val="18"/>
        </w:rPr>
        <w:t xml:space="preserve">tarief op die diensten van toepassing is?  </w:t>
      </w:r>
    </w:p>
    <w:p w:rsidR="00F71B65" w:rsidRDefault="00F71B65" w:rsidP="00F71B65">
      <w:pPr>
        <w:spacing w:after="3"/>
        <w:ind w:left="1"/>
      </w:pPr>
      <w:r>
        <w:rPr>
          <w:rFonts w:ascii="Verdana" w:eastAsia="Verdana" w:hAnsi="Verdana" w:cs="Verdana"/>
          <w:b/>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Ja, het door schapen laten begrazen van natuurgebieden waarvoor de natuurorganisatie (gedeeltelijk) is aangemerkt als bosbouwer valt onder post b13. Deze dienst kenmerkt zich als aangenomen werk in de agrarische sfeer met een eigen verantwoordelijkheid voor het resultaat van de opdrachtnemer. De dienst is derhalve belast naar het verlaagde btw-tarief.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Het </w:t>
      </w:r>
      <w:r>
        <w:rPr>
          <w:rFonts w:ascii="Verdana" w:eastAsia="Verdana" w:hAnsi="Verdana" w:cs="Verdana"/>
          <w:sz w:val="18"/>
        </w:rPr>
        <w:t xml:space="preserve">eerdere </w:t>
      </w:r>
      <w:r>
        <w:rPr>
          <w:rFonts w:ascii="Verdana" w:eastAsia="Verdana" w:hAnsi="Verdana" w:cs="Verdana"/>
          <w:sz w:val="18"/>
        </w:rPr>
        <w:t xml:space="preserve">tariefadvies is gebaseerd op onjuiste, althans onvolledige informatie en komt hiermee te vervallen. </w:t>
      </w:r>
    </w:p>
    <w:p w:rsidR="00F71B65" w:rsidRDefault="00F71B65" w:rsidP="00F71B65">
      <w:pPr>
        <w:spacing w:after="13"/>
        <w:ind w:left="1"/>
      </w:pPr>
      <w:r>
        <w:rPr>
          <w:rFonts w:ascii="Verdana" w:eastAsia="Verdana" w:hAnsi="Verdana" w:cs="Verdana"/>
          <w:b/>
          <w:sz w:val="18"/>
        </w:rPr>
        <w:t xml:space="preserve"> </w:t>
      </w:r>
    </w:p>
    <w:p w:rsidR="00F71B65" w:rsidRDefault="00F71B65" w:rsidP="00F71B65">
      <w:pPr>
        <w:pStyle w:val="Kop1"/>
        <w:ind w:left="15"/>
      </w:pPr>
      <w:r>
        <w:t xml:space="preserve">Beschouwing </w:t>
      </w:r>
      <w:r>
        <w:rPr>
          <w:b w:val="0"/>
        </w:rPr>
        <w:t xml:space="preserve">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De tekst van post b-13 luidt: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4" w:line="266" w:lineRule="auto"/>
        <w:ind w:left="224" w:right="2009" w:hanging="10"/>
      </w:pPr>
      <w:r>
        <w:rPr>
          <w:rFonts w:ascii="Verdana" w:eastAsia="Verdana" w:hAnsi="Verdana" w:cs="Verdana"/>
          <w:i/>
          <w:sz w:val="18"/>
        </w:rPr>
        <w:t xml:space="preserve">“De volgende diensten aan landbouwers, veehouders, tuinbouwers en bosbouwers: </w:t>
      </w:r>
      <w:r>
        <w:rPr>
          <w:rFonts w:ascii="Verdana" w:eastAsia="Verdana" w:hAnsi="Verdana" w:cs="Verdana"/>
          <w:sz w:val="18"/>
        </w:rPr>
        <w:t xml:space="preserve"> </w:t>
      </w:r>
    </w:p>
    <w:p w:rsidR="00F71B65" w:rsidRDefault="00F71B65" w:rsidP="00F71B65">
      <w:pPr>
        <w:numPr>
          <w:ilvl w:val="0"/>
          <w:numId w:val="1"/>
        </w:numPr>
        <w:spacing w:after="29" w:line="266" w:lineRule="auto"/>
        <w:ind w:right="2009" w:hanging="235"/>
      </w:pPr>
      <w:r>
        <w:rPr>
          <w:rFonts w:ascii="Verdana" w:eastAsia="Verdana" w:hAnsi="Verdana" w:cs="Verdana"/>
          <w:i/>
          <w:sz w:val="18"/>
        </w:rPr>
        <w:t xml:space="preserve">de diensten door agrarische loonbedrijven; </w:t>
      </w:r>
      <w:r>
        <w:rPr>
          <w:rFonts w:ascii="Verdana" w:eastAsia="Verdana" w:hAnsi="Verdana" w:cs="Verdana"/>
          <w:sz w:val="18"/>
        </w:rPr>
        <w:t xml:space="preserve"> </w:t>
      </w:r>
    </w:p>
    <w:p w:rsidR="00F71B65" w:rsidRDefault="00F71B65" w:rsidP="00F71B65">
      <w:pPr>
        <w:numPr>
          <w:ilvl w:val="0"/>
          <w:numId w:val="1"/>
        </w:numPr>
        <w:spacing w:after="4" w:line="266" w:lineRule="auto"/>
        <w:ind w:right="2009" w:hanging="235"/>
      </w:pPr>
      <w:r>
        <w:rPr>
          <w:rFonts w:ascii="Verdana" w:eastAsia="Verdana" w:hAnsi="Verdana" w:cs="Verdana"/>
          <w:i/>
          <w:sz w:val="18"/>
        </w:rPr>
        <w:t xml:space="preserve">de diensten door fokinstellingen, instellingen voor keuring en onderzoek en instellingen voor kunstmatige inseminatie, embryotransplantatie daaronder begrepen; </w:t>
      </w:r>
      <w:r>
        <w:rPr>
          <w:rFonts w:ascii="Verdana" w:eastAsia="Verdana" w:hAnsi="Verdana" w:cs="Verdana"/>
          <w:sz w:val="18"/>
        </w:rPr>
        <w:t xml:space="preserve"> </w:t>
      </w:r>
    </w:p>
    <w:p w:rsidR="00F71B65" w:rsidRDefault="00F71B65" w:rsidP="00F71B65">
      <w:pPr>
        <w:numPr>
          <w:ilvl w:val="0"/>
          <w:numId w:val="1"/>
        </w:numPr>
        <w:spacing w:after="32" w:line="266" w:lineRule="auto"/>
        <w:ind w:right="2009" w:hanging="235"/>
      </w:pPr>
      <w:r>
        <w:rPr>
          <w:rFonts w:ascii="Verdana" w:eastAsia="Verdana" w:hAnsi="Verdana" w:cs="Verdana"/>
          <w:i/>
          <w:sz w:val="18"/>
        </w:rPr>
        <w:t xml:space="preserve">de diensten door boekhoud- en belastingadviesbureaus; </w:t>
      </w:r>
      <w:r>
        <w:rPr>
          <w:rFonts w:ascii="Verdana" w:eastAsia="Verdana" w:hAnsi="Verdana" w:cs="Verdana"/>
          <w:sz w:val="18"/>
        </w:rPr>
        <w:t xml:space="preserve"> </w:t>
      </w:r>
    </w:p>
    <w:p w:rsidR="00F71B65" w:rsidRDefault="00F71B65" w:rsidP="00F71B65">
      <w:pPr>
        <w:numPr>
          <w:ilvl w:val="0"/>
          <w:numId w:val="1"/>
        </w:numPr>
        <w:spacing w:after="4" w:line="266" w:lineRule="auto"/>
        <w:ind w:right="2009" w:hanging="235"/>
      </w:pPr>
      <w:r>
        <w:rPr>
          <w:rFonts w:ascii="Verdana" w:eastAsia="Verdana" w:hAnsi="Verdana" w:cs="Verdana"/>
          <w:i/>
          <w:sz w:val="18"/>
        </w:rPr>
        <w:t xml:space="preserve">het bewaren, drogen, koelen, ontsmetten, schonen, sorteren en verpakken van goederen welke de in de aanhef bedoelde personen in hun vermelde hoedanigheid </w:t>
      </w:r>
      <w:r>
        <w:rPr>
          <w:rFonts w:ascii="Verdana" w:eastAsia="Verdana" w:hAnsi="Verdana" w:cs="Verdana"/>
          <w:sz w:val="18"/>
        </w:rPr>
        <w:t xml:space="preserve">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Ingevolge artikel 9 van de Wet OB in samenhang met post b-13 is het verlaagde btw-tarief van toepassing op onder meer de diensten door agrarische loonbedrijven aan landbouwers, veehouders, tuinbouwers en bosbouwers.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Wat onder ‘diensten door agrarische loonbedrijven’ moet worden verstaan, is niet in de Wet OB gedefinieerd.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4" w:line="266" w:lineRule="auto"/>
        <w:ind w:left="11" w:right="2009" w:hanging="10"/>
      </w:pPr>
      <w:r>
        <w:rPr>
          <w:rFonts w:ascii="Verdana" w:eastAsia="Verdana" w:hAnsi="Verdana" w:cs="Verdana"/>
          <w:sz w:val="18"/>
        </w:rPr>
        <w:t>Volgens Hof ’s-Hertogenbosch kunnen aard en karakter van een agrarisch loonbedrijf in de zin van de btw als volgt worden omschreven</w:t>
      </w:r>
      <w:r>
        <w:rPr>
          <w:rFonts w:ascii="Verdana" w:eastAsia="Verdana" w:hAnsi="Verdana" w:cs="Verdana"/>
          <w:i/>
          <w:sz w:val="18"/>
        </w:rPr>
        <w:t xml:space="preserve">: “het met aan het bedrijf toebehorende land- en tuinbouwwerktuigen verrichten van </w:t>
      </w:r>
      <w:r>
        <w:rPr>
          <w:rFonts w:ascii="Verdana" w:eastAsia="Verdana" w:hAnsi="Verdana" w:cs="Verdana"/>
          <w:i/>
          <w:sz w:val="18"/>
        </w:rPr>
        <w:lastRenderedPageBreak/>
        <w:t>werkzaamheden voor landbouwers, welke werkzaamheden betrekking hebben op bijvoorbeeld de bewerking van de grond en de verzorging en oogst van gewassen.”</w:t>
      </w:r>
      <w:r>
        <w:rPr>
          <w:rFonts w:ascii="Verdana" w:eastAsia="Verdana" w:hAnsi="Verdana" w:cs="Verdana"/>
          <w:sz w:val="18"/>
          <w:vertAlign w:val="superscript"/>
        </w:rPr>
        <w:footnoteReference w:id="2"/>
      </w:r>
      <w:r>
        <w:rPr>
          <w:rFonts w:ascii="Verdana" w:eastAsia="Verdana" w:hAnsi="Verdana" w:cs="Verdana"/>
          <w:i/>
          <w:sz w:val="18"/>
        </w:rPr>
        <w:t xml:space="preserve"> </w:t>
      </w:r>
    </w:p>
    <w:p w:rsidR="00F71B65" w:rsidRDefault="00F71B65" w:rsidP="00F71B65">
      <w:pPr>
        <w:spacing w:after="0"/>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In het besluit toelichting Tabel I (hierna: het besluit)</w:t>
      </w:r>
      <w:r>
        <w:rPr>
          <w:rFonts w:ascii="Verdana" w:eastAsia="Verdana" w:hAnsi="Verdana" w:cs="Verdana"/>
          <w:sz w:val="18"/>
          <w:vertAlign w:val="superscript"/>
        </w:rPr>
        <w:t>3</w:t>
      </w:r>
      <w:r>
        <w:rPr>
          <w:rFonts w:ascii="Verdana" w:eastAsia="Verdana" w:hAnsi="Verdana" w:cs="Verdana"/>
          <w:sz w:val="18"/>
        </w:rPr>
        <w:t xml:space="preserve"> is bij post b-13 onder 3.1 vermeld: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4" w:line="266" w:lineRule="auto"/>
        <w:ind w:left="224" w:right="2009" w:hanging="10"/>
      </w:pPr>
      <w:r>
        <w:rPr>
          <w:rFonts w:ascii="Verdana" w:eastAsia="Verdana" w:hAnsi="Verdana" w:cs="Verdana"/>
          <w:i/>
          <w:sz w:val="18"/>
        </w:rPr>
        <w:t xml:space="preserve">”(…) Met diensten door agrarische loonbedrijven worden bedoeld, diensten die eigen zijn aan en kenmerkend voor het agrarisch loonbedrijf en die hun oorsprong vinden in de bedrijfsuitoefening van de landbouwer, veehouder, tuinbouwer of bosbouwer. Het maakt hierbij niet uit of de presterende ondernemer zelf een agrarisch loonbedrijf exploiteert. Bij agrarische loonwerkzaamheden gaat het om aangenomen werk in de agrarische sfeer, met een eigen verantwoordelijkheid voor het resultaat van het werk. Het is niet vereist dat het agrarisch loonbedrijf zelf beschikt over machines en apparatuur. Ook is niet van belang of de te verrichten werkzaamheden al dan niet van eenvoudige aard zijn en of sprake is van stukloon of van een tevoren </w:t>
      </w:r>
    </w:p>
    <w:p w:rsidR="00F71B65" w:rsidRDefault="00F71B65" w:rsidP="00F71B65">
      <w:pPr>
        <w:spacing w:after="4" w:line="266" w:lineRule="auto"/>
        <w:ind w:left="224" w:right="2009" w:hanging="10"/>
      </w:pPr>
      <w:r>
        <w:rPr>
          <w:rFonts w:ascii="Verdana" w:eastAsia="Verdana" w:hAnsi="Verdana" w:cs="Verdana"/>
          <w:i/>
          <w:sz w:val="18"/>
        </w:rPr>
        <w:t xml:space="preserve">overeengekomen bedrag. (…)” </w:t>
      </w:r>
      <w:r>
        <w:rPr>
          <w:rFonts w:ascii="Verdana" w:eastAsia="Verdana" w:hAnsi="Verdana" w:cs="Verdana"/>
          <w:sz w:val="18"/>
        </w:rPr>
        <w:t xml:space="preserve">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Het kort houden van de begroeiing (in dit geval door het laten begrazen door de schapen) in natuurgebieden waarvoor de natuurorganisatie (gedeeltelijk) als bosbouwer is aangemerkt, kan, mede gelet op artikel 27, eerste lid, onderdeel b, van de wet OB, worden aangemerkt als een dienst die zijn oorsprong vindt in de bedrijfsuitoefening van de bosbouwer.  </w:t>
      </w:r>
    </w:p>
    <w:p w:rsidR="00F71B65" w:rsidRDefault="00F71B65" w:rsidP="00F71B65">
      <w:pPr>
        <w:spacing w:after="0"/>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Vervolgens moet beoordeeld worden of het begrazen van de natuurgebieden door schapen een dienst is die eigen is aan en kenmerkend is voor het agrarisch loonbedrijf.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In </w:t>
      </w:r>
      <w:r>
        <w:rPr>
          <w:rFonts w:ascii="Verdana" w:eastAsia="Verdana" w:hAnsi="Verdana" w:cs="Verdana"/>
          <w:sz w:val="18"/>
        </w:rPr>
        <w:t xml:space="preserve">een eerder </w:t>
      </w:r>
      <w:r>
        <w:rPr>
          <w:rFonts w:ascii="Verdana" w:eastAsia="Verdana" w:hAnsi="Verdana" w:cs="Verdana"/>
          <w:sz w:val="18"/>
        </w:rPr>
        <w:t xml:space="preserve">tariefadvies oordeelde de </w:t>
      </w:r>
      <w:r>
        <w:rPr>
          <w:rFonts w:ascii="Verdana" w:eastAsia="Verdana" w:hAnsi="Verdana" w:cs="Verdana"/>
          <w:sz w:val="18"/>
        </w:rPr>
        <w:t>belastingdienst</w:t>
      </w:r>
      <w:r>
        <w:rPr>
          <w:rFonts w:ascii="Verdana" w:eastAsia="Verdana" w:hAnsi="Verdana" w:cs="Verdana"/>
          <w:sz w:val="18"/>
        </w:rPr>
        <w:t xml:space="preserve"> dat bij begrazing door schapen geen sprake is van fysieke menselijke arbeid en dus niet van loonwerkzaamheden. </w:t>
      </w:r>
    </w:p>
    <w:p w:rsidR="00F71B65" w:rsidRDefault="00F71B65" w:rsidP="00F71B65">
      <w:pPr>
        <w:spacing w:after="3"/>
        <w:ind w:left="1"/>
      </w:pPr>
      <w:r>
        <w:rPr>
          <w:rFonts w:ascii="Verdana" w:eastAsia="Verdana" w:hAnsi="Verdana" w:cs="Verdana"/>
          <w:sz w:val="18"/>
        </w:rPr>
        <w:t xml:space="preserve"> </w:t>
      </w:r>
    </w:p>
    <w:p w:rsidR="00F71B65" w:rsidRDefault="00F71B65" w:rsidP="00F71B65">
      <w:pPr>
        <w:spacing w:after="3" w:line="264" w:lineRule="auto"/>
        <w:ind w:left="-4" w:right="2157" w:hanging="10"/>
      </w:pPr>
      <w:r>
        <w:rPr>
          <w:rFonts w:ascii="Verdana" w:eastAsia="Verdana" w:hAnsi="Verdana" w:cs="Verdana"/>
          <w:sz w:val="18"/>
        </w:rPr>
        <w:t xml:space="preserve">Uit nadien verkregen informatie blijkt dat kuddes schapen die natuurgebieden begrazen meestal moeten worden begeleid door één of meer schaapherders. Deze begeleiding is vaak onontbeerlijk bij het begrazen van natuurgebieden. Daarnaast is begrazing vaak de beste en in bepaalde gevallen de enige mogelijkheid tot beheersing van de grasgroei in natuurgebieden. Er is dus sprake van </w:t>
      </w:r>
      <w:r>
        <w:rPr>
          <w:rFonts w:ascii="Verdana" w:eastAsia="Verdana" w:hAnsi="Verdana" w:cs="Verdana"/>
          <w:i/>
          <w:sz w:val="18"/>
        </w:rPr>
        <w:t>aangenomen werk in de agrarische sfeer, met een eigen verantwoordelijkheid voor het resultaat van het werk</w:t>
      </w:r>
      <w:r>
        <w:rPr>
          <w:rFonts w:ascii="Verdana" w:eastAsia="Verdana" w:hAnsi="Verdana" w:cs="Verdana"/>
          <w:sz w:val="18"/>
        </w:rPr>
        <w:t xml:space="preserve"> zoals bedoeld in de toelichting op tabelpost b-13. De schapen zijn de hulpmiddelen van de ondernemer bij de uitvoering van die werkzaamheden.  </w:t>
      </w:r>
    </w:p>
    <w:p w:rsidR="003A166D" w:rsidRDefault="00F71B65" w:rsidP="00F71B65">
      <w:pPr>
        <w:spacing w:after="3"/>
        <w:ind w:left="1"/>
      </w:pPr>
      <w:r>
        <w:rPr>
          <w:rFonts w:ascii="Verdana" w:eastAsia="Verdana" w:hAnsi="Verdana" w:cs="Verdana"/>
          <w:sz w:val="18"/>
        </w:rPr>
        <w:t xml:space="preserve">Het laten begrazen door schapen van natuurgebieden voor een bosbouwer is derhalve belast met het verlaagde btw-tarief (momenteel 6%). De </w:t>
      </w:r>
      <w:r>
        <w:rPr>
          <w:rFonts w:ascii="Verdana" w:eastAsia="Verdana" w:hAnsi="Verdana" w:cs="Verdana"/>
          <w:sz w:val="18"/>
        </w:rPr>
        <w:t>belastingdienst</w:t>
      </w:r>
      <w:r>
        <w:rPr>
          <w:rFonts w:ascii="Verdana" w:eastAsia="Verdana" w:hAnsi="Verdana" w:cs="Verdana"/>
          <w:sz w:val="18"/>
        </w:rPr>
        <w:t xml:space="preserve"> komt hiermee terug op het </w:t>
      </w:r>
      <w:r>
        <w:rPr>
          <w:rFonts w:ascii="Verdana" w:eastAsia="Verdana" w:hAnsi="Verdana" w:cs="Verdana"/>
          <w:sz w:val="18"/>
        </w:rPr>
        <w:t>eerdere standpunt.</w:t>
      </w:r>
    </w:p>
    <w:sectPr w:rsidR="003A16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B65" w:rsidRDefault="00F71B65" w:rsidP="00F71B65">
      <w:pPr>
        <w:spacing w:after="0" w:line="240" w:lineRule="auto"/>
      </w:pPr>
      <w:r>
        <w:separator/>
      </w:r>
    </w:p>
  </w:endnote>
  <w:endnote w:type="continuationSeparator" w:id="0">
    <w:p w:rsidR="00F71B65" w:rsidRDefault="00F71B65" w:rsidP="00F7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B65" w:rsidRDefault="00F71B65" w:rsidP="00F71B65">
      <w:pPr>
        <w:spacing w:after="0" w:line="240" w:lineRule="auto"/>
      </w:pPr>
      <w:r>
        <w:separator/>
      </w:r>
    </w:p>
  </w:footnote>
  <w:footnote w:type="continuationSeparator" w:id="0">
    <w:p w:rsidR="00F71B65" w:rsidRDefault="00F71B65" w:rsidP="00F71B65">
      <w:pPr>
        <w:spacing w:after="0" w:line="240" w:lineRule="auto"/>
      </w:pPr>
      <w:r>
        <w:continuationSeparator/>
      </w:r>
    </w:p>
  </w:footnote>
  <w:footnote w:id="1">
    <w:p w:rsidR="00F71B65" w:rsidRDefault="00F71B65" w:rsidP="00F71B65">
      <w:pPr>
        <w:pStyle w:val="footnotedescription"/>
        <w:tabs>
          <w:tab w:val="center" w:pos="8218"/>
        </w:tabs>
      </w:pPr>
      <w:r>
        <w:rPr>
          <w:rFonts w:ascii="Arial" w:eastAsia="Arial" w:hAnsi="Arial" w:cs="Arial"/>
          <w:b/>
          <w:sz w:val="13"/>
        </w:rPr>
        <w:tab/>
      </w:r>
      <w:r>
        <w:rPr>
          <w:rFonts w:ascii="Arial" w:eastAsia="Arial" w:hAnsi="Arial" w:cs="Arial"/>
          <w:sz w:val="13"/>
        </w:rPr>
        <w:t xml:space="preserve"> </w:t>
      </w:r>
    </w:p>
    <w:p w:rsidR="00F71B65" w:rsidRDefault="00F71B65" w:rsidP="00F71B65">
      <w:pPr>
        <w:pStyle w:val="footnotedescription"/>
        <w:ind w:left="1"/>
      </w:pPr>
      <w:r>
        <w:rPr>
          <w:rFonts w:ascii="Arial" w:eastAsia="Arial" w:hAnsi="Arial" w:cs="Arial"/>
          <w:sz w:val="2"/>
        </w:rPr>
        <w:t xml:space="preserve"> </w:t>
      </w:r>
    </w:p>
  </w:footnote>
  <w:footnote w:id="2">
    <w:p w:rsidR="00F71B65" w:rsidRDefault="00F71B65" w:rsidP="00F71B65">
      <w:pPr>
        <w:pStyle w:val="footnotedescription"/>
        <w:spacing w:line="244" w:lineRule="auto"/>
        <w:ind w:left="1" w:right="3708"/>
      </w:pPr>
      <w:r>
        <w:rPr>
          <w:rStyle w:val="footnotemark"/>
        </w:rPr>
        <w:footnoteRef/>
      </w:r>
      <w:r>
        <w:t xml:space="preserve"> Hof ’s </w:t>
      </w:r>
      <w:proofErr w:type="spellStart"/>
      <w:r>
        <w:t>Hertogenbosch</w:t>
      </w:r>
      <w:proofErr w:type="spellEnd"/>
      <w:r>
        <w:t xml:space="preserve">, 13 oktober 2005, ECLI:NL:GHSHE:2005:AU6467 </w:t>
      </w:r>
      <w:r>
        <w:rPr>
          <w:rFonts w:ascii="Arial" w:eastAsia="Arial" w:hAnsi="Arial" w:cs="Arial"/>
          <w:vertAlign w:val="superscript"/>
        </w:rPr>
        <w:t>3</w:t>
      </w:r>
      <w:r>
        <w:rPr>
          <w:rFonts w:ascii="Arial" w:eastAsia="Arial" w:hAnsi="Arial" w:cs="Arial"/>
        </w:rPr>
        <w:t xml:space="preserve"> Besluit </w:t>
      </w:r>
      <w:r>
        <w:t xml:space="preserve">BLKB 2014/123M van 4 september 2014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6A27"/>
    <w:multiLevelType w:val="hybridMultilevel"/>
    <w:tmpl w:val="58BC8262"/>
    <w:lvl w:ilvl="0" w:tplc="882475D2">
      <w:start w:val="1"/>
      <w:numFmt w:val="lowerLetter"/>
      <w:lvlText w:val="%1."/>
      <w:lvlJc w:val="left"/>
      <w:pPr>
        <w:ind w:left="449"/>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1" w:tplc="769E2B62">
      <w:start w:val="1"/>
      <w:numFmt w:val="lowerLetter"/>
      <w:lvlText w:val="%2"/>
      <w:lvlJc w:val="left"/>
      <w:pPr>
        <w:ind w:left="1308"/>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2" w:tplc="D7AC9A86">
      <w:start w:val="1"/>
      <w:numFmt w:val="lowerRoman"/>
      <w:lvlText w:val="%3"/>
      <w:lvlJc w:val="left"/>
      <w:pPr>
        <w:ind w:left="2028"/>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3" w:tplc="90F0D690">
      <w:start w:val="1"/>
      <w:numFmt w:val="decimal"/>
      <w:lvlText w:val="%4"/>
      <w:lvlJc w:val="left"/>
      <w:pPr>
        <w:ind w:left="2748"/>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4" w:tplc="E32A5816">
      <w:start w:val="1"/>
      <w:numFmt w:val="lowerLetter"/>
      <w:lvlText w:val="%5"/>
      <w:lvlJc w:val="left"/>
      <w:pPr>
        <w:ind w:left="3468"/>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5" w:tplc="CA7EE7DE">
      <w:start w:val="1"/>
      <w:numFmt w:val="lowerRoman"/>
      <w:lvlText w:val="%6"/>
      <w:lvlJc w:val="left"/>
      <w:pPr>
        <w:ind w:left="4188"/>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6" w:tplc="E5E8B6C2">
      <w:start w:val="1"/>
      <w:numFmt w:val="decimal"/>
      <w:lvlText w:val="%7"/>
      <w:lvlJc w:val="left"/>
      <w:pPr>
        <w:ind w:left="4908"/>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7" w:tplc="A028CC6A">
      <w:start w:val="1"/>
      <w:numFmt w:val="lowerLetter"/>
      <w:lvlText w:val="%8"/>
      <w:lvlJc w:val="left"/>
      <w:pPr>
        <w:ind w:left="5628"/>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lvl w:ilvl="8" w:tplc="747EA2B6">
      <w:start w:val="1"/>
      <w:numFmt w:val="lowerRoman"/>
      <w:lvlText w:val="%9"/>
      <w:lvlJc w:val="left"/>
      <w:pPr>
        <w:ind w:left="6348"/>
      </w:pPr>
      <w:rPr>
        <w:rFonts w:ascii="Verdana" w:eastAsia="Verdana" w:hAnsi="Verdana" w:cs="Verdana"/>
        <w:b w:val="0"/>
        <w:i/>
        <w:iCs/>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65"/>
    <w:rsid w:val="003A166D"/>
    <w:rsid w:val="00F2294B"/>
    <w:rsid w:val="00F71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32D89-ADA5-41E1-A042-06F81E3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1B65"/>
    <w:rPr>
      <w:rFonts w:ascii="Calibri" w:eastAsia="Calibri" w:hAnsi="Calibri" w:cs="Calibri"/>
      <w:color w:val="000000"/>
      <w:lang w:eastAsia="nl-NL"/>
    </w:rPr>
  </w:style>
  <w:style w:type="paragraph" w:styleId="Kop1">
    <w:name w:val="heading 1"/>
    <w:next w:val="Standaard"/>
    <w:link w:val="Kop1Char"/>
    <w:uiPriority w:val="9"/>
    <w:unhideWhenUsed/>
    <w:qFormat/>
    <w:rsid w:val="00F71B65"/>
    <w:pPr>
      <w:keepNext/>
      <w:keepLines/>
      <w:spacing w:after="2"/>
      <w:ind w:left="30" w:hanging="10"/>
      <w:outlineLvl w:val="0"/>
    </w:pPr>
    <w:rPr>
      <w:rFonts w:ascii="Verdana" w:eastAsia="Verdana" w:hAnsi="Verdana" w:cs="Verdana"/>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1B65"/>
    <w:rPr>
      <w:rFonts w:ascii="Verdana" w:eastAsia="Verdana" w:hAnsi="Verdana" w:cs="Verdana"/>
      <w:b/>
      <w:color w:val="000000"/>
      <w:sz w:val="18"/>
      <w:lang w:eastAsia="nl-NL"/>
    </w:rPr>
  </w:style>
  <w:style w:type="paragraph" w:customStyle="1" w:styleId="footnotedescription">
    <w:name w:val="footnote description"/>
    <w:next w:val="Standaard"/>
    <w:link w:val="footnotedescriptionChar"/>
    <w:hidden/>
    <w:rsid w:val="00F71B65"/>
    <w:pPr>
      <w:spacing w:after="0"/>
    </w:pPr>
    <w:rPr>
      <w:rFonts w:ascii="Verdana" w:eastAsia="Verdana" w:hAnsi="Verdana" w:cs="Verdana"/>
      <w:color w:val="000000"/>
      <w:sz w:val="16"/>
      <w:lang w:eastAsia="nl-NL"/>
    </w:rPr>
  </w:style>
  <w:style w:type="character" w:customStyle="1" w:styleId="footnotedescriptionChar">
    <w:name w:val="footnote description Char"/>
    <w:link w:val="footnotedescription"/>
    <w:rsid w:val="00F71B65"/>
    <w:rPr>
      <w:rFonts w:ascii="Verdana" w:eastAsia="Verdana" w:hAnsi="Verdana" w:cs="Verdana"/>
      <w:color w:val="000000"/>
      <w:sz w:val="16"/>
      <w:lang w:eastAsia="nl-NL"/>
    </w:rPr>
  </w:style>
  <w:style w:type="character" w:customStyle="1" w:styleId="footnotemark">
    <w:name w:val="footnote mark"/>
    <w:hidden/>
    <w:rsid w:val="00F71B65"/>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4216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de Greef</dc:creator>
  <cp:keywords/>
  <dc:description/>
  <cp:lastModifiedBy>Dennis de Greef</cp:lastModifiedBy>
  <cp:revision>2</cp:revision>
  <dcterms:created xsi:type="dcterms:W3CDTF">2017-07-26T08:49:00Z</dcterms:created>
  <dcterms:modified xsi:type="dcterms:W3CDTF">2017-07-26T08:54:00Z</dcterms:modified>
</cp:coreProperties>
</file>